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黑体" w:hAnsi="黑体" w:eastAsia="黑体"/>
          <w:b/>
          <w:sz w:val="44"/>
          <w:szCs w:val="44"/>
        </w:rPr>
      </w:pPr>
      <w:r>
        <w:rPr>
          <w:rFonts w:hint="eastAsia" w:ascii="方正黑体_GBK" w:hAnsi="方正黑体_GBK" w:eastAsia="方正黑体_GBK" w:cs="方正黑体_GBK"/>
          <w:b/>
          <w:sz w:val="44"/>
          <w:szCs w:val="44"/>
        </w:rPr>
        <w:t>机动车变价处置公告</w:t>
      </w:r>
    </w:p>
    <w:p>
      <w:pPr>
        <w:spacing w:line="500" w:lineRule="exact"/>
        <w:jc w:val="center"/>
        <w:rPr>
          <w:rFonts w:hint="eastAsia" w:ascii="方正楷体_GBK" w:hAnsi="方正楷体_GBK" w:eastAsia="方正楷体_GBK" w:cs="方正楷体_GBK"/>
          <w:b/>
          <w:sz w:val="32"/>
          <w:szCs w:val="32"/>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一、招标项目基本信息：</w:t>
      </w:r>
    </w:p>
    <w:tbl>
      <w:tblPr>
        <w:tblStyle w:val="7"/>
        <w:tblW w:w="8647" w:type="dxa"/>
        <w:tblInd w:w="-34" w:type="dxa"/>
        <w:tblLayout w:type="fixed"/>
        <w:tblCellMar>
          <w:top w:w="0" w:type="dxa"/>
          <w:left w:w="108" w:type="dxa"/>
          <w:bottom w:w="0" w:type="dxa"/>
          <w:right w:w="108" w:type="dxa"/>
        </w:tblCellMar>
      </w:tblPr>
      <w:tblGrid>
        <w:gridCol w:w="2410"/>
        <w:gridCol w:w="6237"/>
      </w:tblGrid>
      <w:tr>
        <w:tblPrEx>
          <w:tblLayout w:type="fixed"/>
          <w:tblCellMar>
            <w:top w:w="0" w:type="dxa"/>
            <w:left w:w="108" w:type="dxa"/>
            <w:bottom w:w="0" w:type="dxa"/>
            <w:right w:w="108" w:type="dxa"/>
          </w:tblCellMar>
        </w:tblPrEx>
        <w:trPr>
          <w:trHeight w:val="450" w:hRule="atLeast"/>
        </w:trPr>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招标编号</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SPWZ2020-12-02</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旧车转让</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业务类型</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机动车变价处置</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来源</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地方国资</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挂牌总价</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合计人民币</w:t>
            </w:r>
            <w:r>
              <w:rPr>
                <w:rFonts w:hint="eastAsia" w:ascii="宋体" w:hAnsi="宋体" w:cs="宋体"/>
                <w:color w:val="000000"/>
                <w:kern w:val="0"/>
                <w:sz w:val="20"/>
                <w:szCs w:val="20"/>
                <w:lang w:val="en-US" w:eastAsia="zh-CN"/>
              </w:rPr>
              <w:t>979</w:t>
            </w:r>
            <w:r>
              <w:rPr>
                <w:rFonts w:hint="eastAsia" w:ascii="宋体" w:hAnsi="宋体" w:cs="宋体"/>
                <w:color w:val="000000"/>
                <w:kern w:val="0"/>
                <w:sz w:val="20"/>
                <w:szCs w:val="20"/>
              </w:rPr>
              <w:t>00元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投标保证金</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合计人民币</w:t>
            </w:r>
            <w:r>
              <w:rPr>
                <w:rFonts w:hint="eastAsia" w:ascii="宋体" w:hAnsi="宋体" w:cs="宋体"/>
                <w:color w:val="000000"/>
                <w:kern w:val="0"/>
                <w:sz w:val="20"/>
                <w:szCs w:val="20"/>
                <w:lang w:val="en-US" w:eastAsia="zh-CN"/>
              </w:rPr>
              <w:t>95</w:t>
            </w:r>
            <w:r>
              <w:rPr>
                <w:rFonts w:hint="eastAsia" w:ascii="宋体" w:hAnsi="宋体" w:cs="宋体"/>
                <w:color w:val="000000"/>
                <w:kern w:val="0"/>
                <w:sz w:val="20"/>
                <w:szCs w:val="20"/>
              </w:rPr>
              <w:t>00元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2020-1</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09</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挂牌期满日期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2020-1</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13</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延牌周期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3个工作日</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延牌次数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现场查勘时间</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2020年</w:t>
            </w:r>
            <w:r>
              <w:rPr>
                <w:rFonts w:hint="eastAsia" w:ascii="宋体" w:hAnsi="宋体" w:cs="宋体"/>
                <w:color w:val="000000"/>
                <w:kern w:val="0"/>
                <w:sz w:val="20"/>
                <w:szCs w:val="20"/>
                <w:lang w:val="en-US" w:eastAsia="zh-CN"/>
              </w:rPr>
              <w:t>11</w:t>
            </w:r>
            <w:r>
              <w:rPr>
                <w:rFonts w:hint="eastAsia" w:ascii="宋体" w:hAnsi="宋体" w:cs="宋体"/>
                <w:color w:val="000000"/>
                <w:kern w:val="0"/>
                <w:sz w:val="20"/>
                <w:szCs w:val="20"/>
              </w:rPr>
              <w:t>月</w:t>
            </w:r>
            <w:r>
              <w:rPr>
                <w:rFonts w:hint="eastAsia" w:ascii="宋体" w:hAnsi="宋体" w:cs="宋体"/>
                <w:color w:val="000000"/>
                <w:kern w:val="0"/>
                <w:sz w:val="20"/>
                <w:szCs w:val="20"/>
                <w:lang w:val="en-US" w:eastAsia="zh-CN"/>
              </w:rPr>
              <w:t>16</w:t>
            </w:r>
            <w:r>
              <w:rPr>
                <w:rFonts w:hint="eastAsia" w:ascii="宋体" w:hAnsi="宋体" w:cs="宋体"/>
                <w:color w:val="000000"/>
                <w:kern w:val="0"/>
                <w:sz w:val="20"/>
                <w:szCs w:val="20"/>
              </w:rPr>
              <w:t>日9：00-17:00</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转让方</w:t>
            </w:r>
          </w:p>
        </w:tc>
        <w:tc>
          <w:tcPr>
            <w:tcW w:w="6237"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color w:val="000000"/>
                <w:kern w:val="0"/>
                <w:sz w:val="20"/>
                <w:szCs w:val="20"/>
              </w:rPr>
            </w:pPr>
            <w:r>
              <w:rPr>
                <w:rFonts w:hint="eastAsia" w:ascii="宋体" w:hAnsi="宋体" w:cs="宋体"/>
                <w:color w:val="000000"/>
                <w:kern w:val="0"/>
                <w:sz w:val="20"/>
                <w:szCs w:val="20"/>
              </w:rPr>
              <w:t>重庆起重机厂有限责任公司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招标联系人</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023-63076979、63076923</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地址</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重庆市渝北区黄山大道中段60号12层</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开户行及账号</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ascii="宋体" w:hAnsi="宋体" w:cs="宋体"/>
                <w:color w:val="000000"/>
                <w:kern w:val="0"/>
                <w:sz w:val="20"/>
                <w:szCs w:val="20"/>
              </w:rPr>
              <w:t>　</w:t>
            </w:r>
            <w:r>
              <w:rPr>
                <w:rFonts w:hint="eastAsia" w:cs="宋体" w:asciiTheme="minorEastAsia" w:hAnsiTheme="minorEastAsia"/>
                <w:color w:val="000000"/>
                <w:kern w:val="0"/>
                <w:sz w:val="20"/>
                <w:szCs w:val="20"/>
              </w:rPr>
              <w:t>中国银行重庆两江分行；账号：</w:t>
            </w:r>
            <w:r>
              <w:rPr>
                <w:rFonts w:cs="宋体" w:asciiTheme="minorEastAsia" w:hAnsiTheme="minorEastAsia"/>
                <w:color w:val="000000"/>
                <w:kern w:val="0"/>
                <w:sz w:val="20"/>
                <w:szCs w:val="20"/>
              </w:rPr>
              <w:t>114421113888</w:t>
            </w:r>
          </w:p>
        </w:tc>
      </w:tr>
    </w:tbl>
    <w:p>
      <w:pPr>
        <w:spacing w:line="500" w:lineRule="exact"/>
        <w:jc w:val="left"/>
        <w:rPr>
          <w:rFonts w:ascii="楷体" w:hAnsi="楷体" w:eastAsia="楷体"/>
          <w:b/>
          <w:sz w:val="28"/>
          <w:szCs w:val="28"/>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二、标的物基本信息：</w:t>
      </w:r>
    </w:p>
    <w:tbl>
      <w:tblPr>
        <w:tblStyle w:val="7"/>
        <w:tblW w:w="8647" w:type="dxa"/>
        <w:tblInd w:w="-34" w:type="dxa"/>
        <w:tblLayout w:type="fixed"/>
        <w:tblCellMar>
          <w:top w:w="0" w:type="dxa"/>
          <w:left w:w="108" w:type="dxa"/>
          <w:bottom w:w="0" w:type="dxa"/>
          <w:right w:w="108" w:type="dxa"/>
        </w:tblCellMar>
      </w:tblPr>
      <w:tblGrid>
        <w:gridCol w:w="568"/>
        <w:gridCol w:w="1701"/>
        <w:gridCol w:w="946"/>
        <w:gridCol w:w="855"/>
        <w:gridCol w:w="975"/>
        <w:gridCol w:w="1125"/>
        <w:gridCol w:w="975"/>
        <w:gridCol w:w="900"/>
        <w:gridCol w:w="602"/>
      </w:tblGrid>
      <w:tr>
        <w:tblPrEx>
          <w:tblLayout w:type="fixed"/>
          <w:tblCellMar>
            <w:top w:w="0" w:type="dxa"/>
            <w:left w:w="108" w:type="dxa"/>
            <w:bottom w:w="0" w:type="dxa"/>
            <w:right w:w="108" w:type="dxa"/>
          </w:tblCellMar>
        </w:tblPrEx>
        <w:trPr>
          <w:trHeight w:val="718"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标的物型号</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注册登记日期</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排量</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检验有效期至</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保险期限至</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挂牌价（元）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保证金（元）</w:t>
            </w:r>
          </w:p>
        </w:tc>
        <w:tc>
          <w:tcPr>
            <w:tcW w:w="6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578"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五十铃牌QL0207GDRC绿色，柴油，1台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2010.09</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2771ml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2019.09</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2019.09</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20700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20</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5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金杯牌 SY6390A9SBW，</w:t>
            </w:r>
            <w:r>
              <w:rPr>
                <w:rFonts w:hint="eastAsia" w:ascii="宋体" w:hAnsi="宋体" w:cs="宋体"/>
                <w:color w:val="000000"/>
                <w:kern w:val="0"/>
                <w:sz w:val="18"/>
                <w:szCs w:val="18"/>
                <w:highlight w:val="none"/>
                <w:lang w:val="en-US" w:eastAsia="zh-CN"/>
              </w:rPr>
              <w:t>白色，汽油，1台</w:t>
            </w:r>
            <w:r>
              <w:rPr>
                <w:rFonts w:hint="eastAsia" w:ascii="宋体" w:hAnsi="宋体" w:cs="宋体"/>
                <w:color w:val="000000"/>
                <w:kern w:val="0"/>
                <w:sz w:val="18"/>
                <w:szCs w:val="18"/>
                <w:highlight w:val="none"/>
              </w:rPr>
              <w:t xml:space="preserve"> </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2014.05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val="en-US" w:eastAsia="zh-CN"/>
              </w:rPr>
              <w:t>1000</w:t>
            </w:r>
            <w:r>
              <w:rPr>
                <w:rFonts w:hint="eastAsia" w:ascii="宋体" w:hAnsi="宋体" w:cs="宋体"/>
                <w:color w:val="000000"/>
                <w:kern w:val="0"/>
                <w:sz w:val="18"/>
                <w:szCs w:val="18"/>
                <w:highlight w:val="none"/>
              </w:rPr>
              <w:t>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2020.05</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2020.05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7200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7</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解放牌CA1030K2J3E4-1，白色，柴油，1台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2016.06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2450ml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2020.06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2020.07</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31300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3</w:t>
            </w:r>
            <w:r>
              <w:rPr>
                <w:rFonts w:hint="eastAsia" w:ascii="宋体" w:hAnsi="宋体" w:cs="宋体"/>
                <w:b/>
                <w:color w:val="000000"/>
                <w:kern w:val="0"/>
                <w:sz w:val="18"/>
                <w:szCs w:val="18"/>
              </w:rPr>
              <w:t>000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7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东风标致 DC7202DTAA，灰色，汽油，1台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2012.03</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1997ml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2021.03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2021.04</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38700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38</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bl>
    <w:p>
      <w:pPr>
        <w:widowControl/>
        <w:spacing w:line="560" w:lineRule="exact"/>
        <w:ind w:firstLine="560" w:firstLineChars="200"/>
        <w:jc w:val="left"/>
        <w:rPr>
          <w:rFonts w:ascii="仿宋" w:hAnsi="仿宋" w:eastAsia="仿宋" w:cs="宋体"/>
          <w:kern w:val="0"/>
          <w:sz w:val="28"/>
          <w:szCs w:val="28"/>
        </w:rPr>
      </w:pPr>
      <w:r>
        <w:rPr>
          <w:rFonts w:hint="eastAsia" w:ascii="方正楷体_GBK" w:hAnsi="方正楷体_GBK" w:eastAsia="方正楷体_GBK" w:cs="方正楷体_GBK"/>
          <w:kern w:val="0"/>
          <w:sz w:val="28"/>
          <w:szCs w:val="28"/>
        </w:rPr>
        <w:t>以上车辆行驶证、登记证、车辆购置税完税证明齐全，拟按现状不低于挂牌价协议或竞价转让。</w:t>
      </w:r>
    </w:p>
    <w:p>
      <w:pPr>
        <w:widowControl/>
        <w:spacing w:line="560" w:lineRule="exact"/>
        <w:ind w:firstLine="560" w:firstLineChars="200"/>
        <w:jc w:val="left"/>
        <w:rPr>
          <w:rFonts w:ascii="仿宋" w:hAnsi="仿宋" w:eastAsia="仿宋" w:cs="宋体"/>
          <w:kern w:val="0"/>
          <w:sz w:val="28"/>
          <w:szCs w:val="28"/>
        </w:rPr>
      </w:pPr>
    </w:p>
    <w:p>
      <w:pPr>
        <w:widowControl/>
        <w:spacing w:line="560" w:lineRule="exact"/>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b/>
          <w:kern w:val="0"/>
          <w:sz w:val="28"/>
          <w:szCs w:val="28"/>
        </w:rPr>
        <w:t xml:space="preserve">特别告知: </w:t>
      </w:r>
    </w:p>
    <w:p>
      <w:pPr>
        <w:widowControl/>
        <w:spacing w:line="560" w:lineRule="exact"/>
        <w:ind w:firstLine="560" w:firstLineChars="200"/>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kern w:val="0"/>
          <w:sz w:val="28"/>
          <w:szCs w:val="28"/>
        </w:rPr>
        <w:t>1、</w:t>
      </w:r>
      <w:r>
        <w:rPr>
          <w:rFonts w:hint="eastAsia" w:ascii="方正楷体_GBK" w:hAnsi="方正楷体_GBK" w:eastAsia="方正楷体_GBK" w:cs="方正楷体_GBK"/>
          <w:b/>
          <w:kern w:val="0"/>
          <w:sz w:val="28"/>
          <w:szCs w:val="28"/>
          <w:u w:val="single"/>
        </w:rPr>
        <w:t>本项目挂牌期自 2020年1</w:t>
      </w:r>
      <w:r>
        <w:rPr>
          <w:rFonts w:hint="eastAsia" w:ascii="方正楷体_GBK" w:hAnsi="方正楷体_GBK" w:eastAsia="方正楷体_GBK" w:cs="方正楷体_GBK"/>
          <w:b/>
          <w:kern w:val="0"/>
          <w:sz w:val="28"/>
          <w:szCs w:val="28"/>
          <w:u w:val="single"/>
          <w:lang w:val="en-US" w:eastAsia="zh-CN"/>
        </w:rPr>
        <w:t>1</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09</w:t>
      </w:r>
      <w:r>
        <w:rPr>
          <w:rFonts w:hint="eastAsia" w:ascii="方正楷体_GBK" w:hAnsi="方正楷体_GBK" w:eastAsia="方正楷体_GBK" w:cs="方正楷体_GBK"/>
          <w:b/>
          <w:kern w:val="0"/>
          <w:sz w:val="28"/>
          <w:szCs w:val="28"/>
          <w:u w:val="single"/>
        </w:rPr>
        <w:t>日起至 2020年1</w:t>
      </w:r>
      <w:r>
        <w:rPr>
          <w:rFonts w:hint="eastAsia" w:ascii="方正楷体_GBK" w:hAnsi="方正楷体_GBK" w:eastAsia="方正楷体_GBK" w:cs="方正楷体_GBK"/>
          <w:b/>
          <w:kern w:val="0"/>
          <w:sz w:val="28"/>
          <w:szCs w:val="28"/>
          <w:u w:val="single"/>
          <w:lang w:val="en-US" w:eastAsia="zh-CN"/>
        </w:rPr>
        <w:t>1</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13</w:t>
      </w:r>
      <w:r>
        <w:rPr>
          <w:rFonts w:hint="eastAsia" w:ascii="方正楷体_GBK" w:hAnsi="方正楷体_GBK" w:eastAsia="方正楷体_GBK" w:cs="方正楷体_GBK"/>
          <w:b/>
          <w:kern w:val="0"/>
          <w:sz w:val="28"/>
          <w:szCs w:val="28"/>
          <w:u w:val="single"/>
        </w:rPr>
        <w:t>日止，</w:t>
      </w:r>
      <w:r>
        <w:rPr>
          <w:rFonts w:hint="eastAsia" w:ascii="方正楷体_GBK" w:hAnsi="方正楷体_GBK" w:eastAsia="方正楷体_GBK" w:cs="方正楷体_GBK"/>
          <w:kern w:val="0"/>
          <w:sz w:val="28"/>
          <w:szCs w:val="28"/>
        </w:rPr>
        <w:t>挂牌期满如未征集到意向受让方，不变更挂牌条件,按照3个工作日为一个周期延长挂牌,直到征集到意向受让方。</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2、意向受让方须在挂牌期内(法定工作时间)到重庆盛普物资有限公司办理报名手续并缴纳投标保证金到指定账户（以到账为准）。如挂牌期满只有一家符合条件的意向受让方产生，则采取协议的方式成交；如挂牌期满有两家或者以上符合条件的意向受让方产生，则采取竞价方式确定受让方。</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3、意向受让方被确定为受让方的，意向受让方所交纳的投标保证金自动转为履约保证金，由招标人在合同执行完的5个工作日内，凭受让方已完成过户后的车辆有效证照无息返还。为保护转让方和真实意向受让方的合法利益，转让方在此做出特别提示，设定如下内容作为要约，意向受让方一旦通过资格确认且缴纳投标保证金，即视为对此的承诺。非转让方原因，当出现以下任何一种情况时，在扣除招标人的交易组织费用后，转让方有权扣除意向受让方所交缴纳的剩余投标保证金，作为对转让方的补偿金：（1）意向受让方提出受让申请并交纳投标保证金后单方撤回受让申请的；（2）产生两家及以上符合条件的意向受让方时未参加后续竞价程序的；（3）在竞价过程中以挂牌价格为起始价格，各意向受让方均不应价的；（4）在被确定为受让方后，未按约定时限与转让方签署《二手车交易合同》或未按合同约定足额支付交易价款的。</w:t>
      </w:r>
    </w:p>
    <w:p>
      <w:pPr>
        <w:widowControl/>
        <w:spacing w:line="560" w:lineRule="exact"/>
        <w:ind w:firstLine="480"/>
        <w:jc w:val="left"/>
        <w:rPr>
          <w:rFonts w:hint="eastAsia" w:ascii="方正楷体_GBK" w:hAnsi="方正楷体_GBK" w:eastAsia="方正楷体_GBK" w:cs="方正楷体_GBK"/>
          <w:b/>
          <w:color w:val="FF0000"/>
          <w:kern w:val="0"/>
          <w:sz w:val="28"/>
          <w:szCs w:val="28"/>
          <w:u w:val="single"/>
        </w:rPr>
      </w:pPr>
      <w:r>
        <w:rPr>
          <w:rFonts w:hint="eastAsia" w:ascii="方正楷体_GBK" w:hAnsi="方正楷体_GBK" w:eastAsia="方正楷体_GBK" w:cs="方正楷体_GBK"/>
          <w:kern w:val="0"/>
          <w:sz w:val="28"/>
          <w:szCs w:val="28"/>
        </w:rPr>
        <w:t>4、意向受让方应通过向转让方咨询、查看相关资料、实物查勘等方式详细了解标的瑕疵及有关政策规定</w:t>
      </w:r>
      <w:r>
        <w:rPr>
          <w:rFonts w:hint="eastAsia" w:ascii="方正楷体_GBK" w:hAnsi="方正楷体_GBK" w:eastAsia="方正楷体_GBK" w:cs="方正楷体_GBK"/>
          <w:b/>
          <w:color w:val="FF0000"/>
          <w:kern w:val="0"/>
          <w:sz w:val="28"/>
          <w:szCs w:val="28"/>
          <w:u w:val="single"/>
        </w:rPr>
        <w:t>(包括车辆的排放量是否能</w:t>
      </w:r>
    </w:p>
    <w:p>
      <w:pPr>
        <w:widowControl/>
        <w:spacing w:line="560" w:lineRule="exact"/>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b/>
          <w:color w:val="FF0000"/>
          <w:kern w:val="0"/>
          <w:sz w:val="28"/>
          <w:szCs w:val="28"/>
          <w:u w:val="single"/>
        </w:rPr>
        <w:t>过户到意向受让方户口所在地，车辆是否为黄标车，车辆是否能正常通过年审)</w:t>
      </w:r>
      <w:r>
        <w:rPr>
          <w:rFonts w:hint="eastAsia" w:ascii="方正楷体_GBK" w:hAnsi="方正楷体_GBK" w:eastAsia="方正楷体_GBK" w:cs="方正楷体_GBK"/>
          <w:kern w:val="0"/>
          <w:sz w:val="28"/>
          <w:szCs w:val="28"/>
        </w:rPr>
        <w:t>后决定是否受让,并自行办理过户相关手续,转让方协助。</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5、意向受让方在被确定为受让方之日起 5 个工作日内与转让方</w:t>
      </w:r>
    </w:p>
    <w:p>
      <w:pPr>
        <w:widowControl/>
        <w:spacing w:line="560" w:lineRule="exac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签署《二手车交易合同》,并在合同签订之日起 5个工作日内将全部交易价款一次性汇入招标人指定账户。</w:t>
      </w:r>
    </w:p>
    <w:p>
      <w:pPr>
        <w:widowControl/>
        <w:spacing w:line="560" w:lineRule="exact"/>
        <w:ind w:firstLine="560" w:firstLineChars="20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6、车辆移交前的违章费用由转让方承担,交易及过户所涉及的一切税、费均由受让方承担。</w:t>
      </w:r>
    </w:p>
    <w:p>
      <w:pPr>
        <w:widowControl/>
        <w:spacing w:line="560" w:lineRule="exact"/>
        <w:ind w:firstLine="562" w:firstLineChars="200"/>
        <w:jc w:val="left"/>
        <w:rPr>
          <w:rFonts w:hint="eastAsia" w:ascii="方正楷体_GBK" w:hAnsi="方正楷体_GBK" w:eastAsia="方正楷体_GBK" w:cs="方正楷体_GBK"/>
          <w:b/>
          <w:color w:val="FF0000"/>
          <w:kern w:val="0"/>
          <w:sz w:val="28"/>
          <w:szCs w:val="28"/>
          <w:u w:val="single"/>
        </w:rPr>
      </w:pPr>
      <w:r>
        <w:rPr>
          <w:rFonts w:hint="eastAsia" w:ascii="方正楷体_GBK" w:hAnsi="方正楷体_GBK" w:eastAsia="方正楷体_GBK" w:cs="方正楷体_GBK"/>
          <w:b/>
          <w:color w:val="FF0000"/>
          <w:kern w:val="0"/>
          <w:sz w:val="28"/>
          <w:szCs w:val="28"/>
          <w:u w:val="single"/>
        </w:rPr>
        <w:t>注：</w:t>
      </w:r>
      <w:r>
        <w:rPr>
          <w:rFonts w:hint="eastAsia" w:ascii="方正楷体_GBK" w:hAnsi="方正楷体_GBK" w:eastAsia="方正楷体_GBK" w:cs="方正楷体_GBK"/>
          <w:b/>
          <w:color w:val="FF0000"/>
          <w:kern w:val="0"/>
          <w:sz w:val="28"/>
          <w:szCs w:val="28"/>
          <w:u w:val="single"/>
          <w:lang w:val="en-US" w:eastAsia="zh-CN"/>
        </w:rPr>
        <w:t>本次处置的部分车辆</w:t>
      </w:r>
      <w:r>
        <w:rPr>
          <w:rFonts w:hint="eastAsia" w:ascii="方正楷体_GBK" w:hAnsi="方正楷体_GBK" w:eastAsia="方正楷体_GBK" w:cs="方正楷体_GBK"/>
          <w:b/>
          <w:color w:val="FF0000"/>
          <w:kern w:val="0"/>
          <w:sz w:val="28"/>
          <w:szCs w:val="28"/>
          <w:u w:val="single"/>
        </w:rPr>
        <w:t>保险、年检已到期，若转让成功，由受让方承担该车辆在移交前的保险及年检费用。</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7、受让方若需旧车交易发票,请自行缴纳有关税、费后办理。</w:t>
      </w:r>
    </w:p>
    <w:p>
      <w:pPr>
        <w:widowControl/>
        <w:spacing w:line="560" w:lineRule="exact"/>
        <w:ind w:firstLine="480"/>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8、现场踏勘地址：</w:t>
      </w:r>
    </w:p>
    <w:p>
      <w:pPr>
        <w:widowControl/>
        <w:spacing w:line="560" w:lineRule="exact"/>
        <w:ind w:left="139" w:leftChars="66" w:firstLine="475" w:firstLineChars="169"/>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b/>
          <w:kern w:val="0"/>
          <w:sz w:val="28"/>
          <w:szCs w:val="28"/>
          <w:u w:val="single"/>
        </w:rPr>
        <w:t>重庆</w:t>
      </w:r>
      <w:r>
        <w:rPr>
          <w:rFonts w:hint="eastAsia" w:ascii="方正楷体_GBK" w:hAnsi="方正楷体_GBK" w:eastAsia="方正楷体_GBK" w:cs="方正楷体_GBK"/>
          <w:b/>
          <w:kern w:val="0"/>
          <w:sz w:val="28"/>
          <w:szCs w:val="28"/>
          <w:u w:val="single"/>
          <w:lang w:val="en-US" w:eastAsia="zh-CN"/>
        </w:rPr>
        <w:t>起重机厂有限责任公司</w:t>
      </w:r>
      <w:r>
        <w:rPr>
          <w:rFonts w:hint="eastAsia" w:ascii="方正楷体_GBK" w:hAnsi="方正楷体_GBK" w:eastAsia="方正楷体_GBK" w:cs="方正楷体_GBK"/>
          <w:kern w:val="0"/>
          <w:sz w:val="28"/>
          <w:szCs w:val="28"/>
          <w:u w:val="single"/>
        </w:rPr>
        <w:t>：重庆</w:t>
      </w:r>
      <w:r>
        <w:rPr>
          <w:rFonts w:hint="eastAsia" w:ascii="方正楷体_GBK" w:hAnsi="方正楷体_GBK" w:eastAsia="方正楷体_GBK" w:cs="方正楷体_GBK"/>
          <w:kern w:val="0"/>
          <w:sz w:val="28"/>
          <w:szCs w:val="28"/>
          <w:u w:val="single"/>
          <w:lang w:val="en-US" w:eastAsia="zh-CN"/>
        </w:rPr>
        <w:t>江津</w:t>
      </w:r>
      <w:r>
        <w:rPr>
          <w:rFonts w:hint="eastAsia" w:ascii="方正楷体_GBK" w:hAnsi="方正楷体_GBK" w:eastAsia="方正楷体_GBK" w:cs="方正楷体_GBK"/>
          <w:kern w:val="0"/>
          <w:sz w:val="28"/>
          <w:szCs w:val="28"/>
          <w:u w:val="single"/>
        </w:rPr>
        <w:t>区</w:t>
      </w:r>
      <w:r>
        <w:rPr>
          <w:rFonts w:hint="eastAsia" w:ascii="方正楷体_GBK" w:hAnsi="方正楷体_GBK" w:eastAsia="方正楷体_GBK" w:cs="方正楷体_GBK"/>
          <w:kern w:val="0"/>
          <w:sz w:val="28"/>
          <w:szCs w:val="28"/>
          <w:u w:val="single"/>
          <w:lang w:val="en-US" w:eastAsia="zh-CN"/>
        </w:rPr>
        <w:t>珞璜镇碑亭村芝麻街</w:t>
      </w:r>
      <w:r>
        <w:rPr>
          <w:rFonts w:hint="eastAsia" w:ascii="方正楷体_GBK" w:hAnsi="方正楷体_GBK" w:eastAsia="方正楷体_GBK" w:cs="方正楷体_GBK"/>
          <w:kern w:val="0"/>
          <w:sz w:val="28"/>
          <w:szCs w:val="28"/>
          <w:u w:val="single"/>
        </w:rPr>
        <w:t>；联系人：</w:t>
      </w:r>
      <w:r>
        <w:rPr>
          <w:rFonts w:hint="eastAsia" w:ascii="方正楷体_GBK" w:hAnsi="方正楷体_GBK" w:eastAsia="方正楷体_GBK" w:cs="方正楷体_GBK"/>
          <w:kern w:val="0"/>
          <w:sz w:val="28"/>
          <w:szCs w:val="28"/>
          <w:u w:val="single"/>
          <w:lang w:val="en-US" w:eastAsia="zh-CN"/>
        </w:rPr>
        <w:t>曹奕</w:t>
      </w:r>
      <w:r>
        <w:rPr>
          <w:rFonts w:hint="eastAsia" w:ascii="方正楷体_GBK" w:hAnsi="方正楷体_GBK" w:eastAsia="方正楷体_GBK" w:cs="方正楷体_GBK"/>
          <w:kern w:val="0"/>
          <w:sz w:val="28"/>
          <w:szCs w:val="28"/>
          <w:u w:val="single"/>
        </w:rPr>
        <w:t>；联系电话：</w:t>
      </w:r>
      <w:r>
        <w:rPr>
          <w:rFonts w:hint="eastAsia" w:ascii="方正楷体_GBK" w:hAnsi="方正楷体_GBK" w:eastAsia="方正楷体_GBK" w:cs="方正楷体_GBK"/>
          <w:kern w:val="0"/>
          <w:sz w:val="28"/>
          <w:szCs w:val="28"/>
          <w:u w:val="single"/>
          <w:lang w:val="en-US" w:eastAsia="zh-CN"/>
        </w:rPr>
        <w:t>13983372368</w:t>
      </w:r>
      <w:r>
        <w:rPr>
          <w:rFonts w:hint="eastAsia" w:ascii="方正楷体_GBK" w:hAnsi="方正楷体_GBK" w:eastAsia="方正楷体_GBK" w:cs="方正楷体_GBK"/>
          <w:kern w:val="0"/>
          <w:sz w:val="28"/>
          <w:szCs w:val="28"/>
        </w:rPr>
        <w:t>。</w:t>
      </w:r>
    </w:p>
    <w:p>
      <w:pPr>
        <w:widowControl/>
        <w:spacing w:line="560" w:lineRule="exact"/>
        <w:ind w:firstLine="560" w:firstLineChars="200"/>
        <w:jc w:val="left"/>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9、招标人信息：</w:t>
      </w:r>
    </w:p>
    <w:p>
      <w:pPr>
        <w:spacing w:line="540" w:lineRule="exact"/>
        <w:ind w:firstLine="55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招 标 人：</w:t>
      </w:r>
      <w:r>
        <w:rPr>
          <w:rFonts w:hint="eastAsia" w:ascii="方正楷体_GBK" w:hAnsi="方正楷体_GBK" w:eastAsia="方正楷体_GBK" w:cs="方正楷体_GBK"/>
          <w:sz w:val="28"/>
          <w:szCs w:val="28"/>
          <w:u w:val="single"/>
        </w:rPr>
        <w:t xml:space="preserve">重庆盛普物资有限公司            </w:t>
      </w:r>
    </w:p>
    <w:p>
      <w:pPr>
        <w:spacing w:line="54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开户银行：</w:t>
      </w:r>
      <w:r>
        <w:rPr>
          <w:rFonts w:hint="eastAsia" w:ascii="方正楷体_GBK" w:hAnsi="方正楷体_GBK" w:eastAsia="方正楷体_GBK" w:cs="方正楷体_GBK"/>
          <w:sz w:val="28"/>
          <w:szCs w:val="28"/>
          <w:u w:val="single"/>
        </w:rPr>
        <w:t xml:space="preserve">中国银行重庆两江分行          </w:t>
      </w:r>
    </w:p>
    <w:p>
      <w:pPr>
        <w:spacing w:line="540" w:lineRule="exact"/>
        <w:ind w:firstLine="555"/>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line="540" w:lineRule="exact"/>
        <w:ind w:firstLine="555"/>
        <w:rPr>
          <w:rFonts w:ascii="仿宋" w:hAnsi="仿宋" w:eastAsia="仿宋"/>
          <w:sz w:val="28"/>
          <w:szCs w:val="28"/>
          <w:u w:val="single"/>
        </w:rPr>
      </w:pPr>
    </w:p>
    <w:p>
      <w:pPr>
        <w:spacing w:after="312" w:afterLines="100" w:line="700" w:lineRule="exact"/>
        <w:jc w:val="center"/>
        <w:rPr>
          <w:rFonts w:ascii="黑体" w:hAnsi="黑体" w:eastAsia="黑体"/>
          <w:b/>
          <w:sz w:val="44"/>
          <w:szCs w:val="44"/>
        </w:rPr>
      </w:pPr>
      <w:r>
        <w:rPr>
          <w:rFonts w:hint="eastAsia" w:ascii="黑体" w:hAnsi="黑体" w:eastAsia="黑体"/>
          <w:b/>
          <w:sz w:val="44"/>
          <w:szCs w:val="44"/>
        </w:rPr>
        <w:t>投 标 竞 价 书</w:t>
      </w:r>
    </w:p>
    <w:p>
      <w:pPr>
        <w:widowControl/>
        <w:shd w:val="clear" w:color="auto" w:fill="F7FAFF"/>
        <w:spacing w:after="312" w:afterLines="100" w:line="560" w:lineRule="exact"/>
        <w:ind w:firstLine="560" w:firstLineChars="200"/>
        <w:jc w:val="left"/>
        <w:rPr>
          <w:rFonts w:hint="eastAsia" w:ascii="方正楷体_GBK" w:hAnsi="方正楷体_GBK" w:eastAsia="方正楷体_GBK" w:cs="方正楷体_GBK"/>
          <w:color w:val="010005"/>
          <w:kern w:val="0"/>
          <w:sz w:val="28"/>
          <w:szCs w:val="28"/>
        </w:rPr>
      </w:pPr>
      <w:r>
        <w:rPr>
          <w:rFonts w:hint="eastAsia" w:ascii="方正楷体_GBK" w:hAnsi="方正楷体_GBK" w:eastAsia="方正楷体_GBK" w:cs="方正楷体_GBK"/>
          <w:color w:val="010005"/>
          <w:kern w:val="0"/>
          <w:sz w:val="28"/>
          <w:szCs w:val="28"/>
        </w:rPr>
        <w:t>重庆盛普物资有限公司就下述机动车变价处置项目接受合格的市内经销商及个人提交报价文件。项目有关事项及报价要求如下：</w:t>
      </w:r>
    </w:p>
    <w:tbl>
      <w:tblPr>
        <w:tblStyle w:val="7"/>
        <w:tblW w:w="8308" w:type="dxa"/>
        <w:tblInd w:w="93" w:type="dxa"/>
        <w:tblLayout w:type="fixed"/>
        <w:tblCellMar>
          <w:top w:w="0" w:type="dxa"/>
          <w:left w:w="108" w:type="dxa"/>
          <w:bottom w:w="0" w:type="dxa"/>
          <w:right w:w="108" w:type="dxa"/>
        </w:tblCellMar>
      </w:tblPr>
      <w:tblGrid>
        <w:gridCol w:w="3417"/>
        <w:gridCol w:w="3544"/>
        <w:gridCol w:w="1347"/>
      </w:tblGrid>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五十铃牌QL0207GDRC绿色，柴油，1台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贰万零柒佰</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0</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00.00元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000.00元整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highlight w:val="none"/>
              </w:rPr>
              <w:t>金杯牌 SY6390A9SBW</w:t>
            </w:r>
            <w:r>
              <w:rPr>
                <w:rFonts w:hint="eastAsia" w:ascii="宋体" w:hAnsi="宋体" w:cs="宋体"/>
                <w:color w:val="000000"/>
                <w:kern w:val="0"/>
                <w:sz w:val="18"/>
                <w:szCs w:val="18"/>
                <w:highlight w:val="none"/>
                <w:lang w:val="en-US" w:eastAsia="zh-CN"/>
              </w:rPr>
              <w:t>白色 汽油 1台</w:t>
            </w:r>
            <w:r>
              <w:rPr>
                <w:rFonts w:hint="eastAsia" w:ascii="宋体" w:hAnsi="宋体" w:cs="宋体"/>
                <w:color w:val="000000"/>
                <w:kern w:val="0"/>
                <w:sz w:val="18"/>
                <w:szCs w:val="18"/>
                <w:highlight w:val="none"/>
              </w:rPr>
              <w:t xml:space="preserve"> </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贰佰</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72</w:t>
            </w:r>
            <w:r>
              <w:rPr>
                <w:rFonts w:hint="eastAsia" w:ascii="宋体" w:hAnsi="宋体" w:cs="宋体"/>
                <w:color w:val="000000"/>
                <w:kern w:val="0"/>
                <w:sz w:val="20"/>
                <w:szCs w:val="20"/>
              </w:rPr>
              <w:t>00.00元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color w:val="000000"/>
                <w:kern w:val="0"/>
                <w:sz w:val="18"/>
                <w:szCs w:val="18"/>
              </w:rPr>
            </w:pPr>
            <w:r>
              <w:rPr>
                <w:rFonts w:hint="eastAsia" w:ascii="宋体" w:hAnsi="宋体" w:cs="宋体"/>
                <w:color w:val="000000"/>
                <w:kern w:val="0"/>
                <w:sz w:val="18"/>
                <w:szCs w:val="18"/>
              </w:rPr>
              <w:t>解放牌CA1030K2J3E4-1白色</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柴油</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叁万壹</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叁佰</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313</w:t>
            </w:r>
            <w:r>
              <w:rPr>
                <w:rFonts w:hint="eastAsia" w:ascii="宋体" w:hAnsi="宋体" w:cs="宋体"/>
                <w:color w:val="000000"/>
                <w:kern w:val="0"/>
                <w:sz w:val="20"/>
                <w:szCs w:val="20"/>
              </w:rPr>
              <w:t>00.00元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000.00元整</w:t>
            </w:r>
          </w:p>
        </w:tc>
      </w:tr>
      <w:tr>
        <w:tblPrEx>
          <w:tblLayout w:type="fixed"/>
          <w:tblCellMar>
            <w:top w:w="0" w:type="dxa"/>
            <w:left w:w="108" w:type="dxa"/>
            <w:bottom w:w="0" w:type="dxa"/>
            <w:right w:w="108" w:type="dxa"/>
          </w:tblCellMar>
        </w:tblPrEx>
        <w:trPr>
          <w:trHeight w:val="440" w:hRule="atLeast"/>
        </w:trPr>
        <w:tc>
          <w:tcPr>
            <w:tcW w:w="3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项目名称</w:t>
            </w:r>
          </w:p>
        </w:tc>
        <w:tc>
          <w:tcPr>
            <w:tcW w:w="35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13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投标有效期</w:t>
            </w:r>
          </w:p>
        </w:tc>
      </w:tr>
      <w:tr>
        <w:tblPrEx>
          <w:tblLayout w:type="fixed"/>
          <w:tblCellMar>
            <w:top w:w="0" w:type="dxa"/>
            <w:left w:w="108" w:type="dxa"/>
            <w:bottom w:w="0" w:type="dxa"/>
            <w:right w:w="108" w:type="dxa"/>
          </w:tblCellMar>
        </w:tblPrEx>
        <w:trPr>
          <w:trHeight w:val="277" w:hRule="atLeast"/>
        </w:trPr>
        <w:tc>
          <w:tcPr>
            <w:tcW w:w="34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东风标致 DC7202DTAA灰色</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汽油</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1台</w:t>
            </w:r>
          </w:p>
        </w:tc>
        <w:tc>
          <w:tcPr>
            <w:tcW w:w="3544"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叁万捌</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柒佰</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387</w:t>
            </w:r>
            <w:r>
              <w:rPr>
                <w:rFonts w:hint="eastAsia" w:ascii="宋体" w:hAnsi="宋体" w:cs="宋体"/>
                <w:color w:val="000000"/>
                <w:kern w:val="0"/>
                <w:sz w:val="20"/>
                <w:szCs w:val="20"/>
              </w:rPr>
              <w:t>00.00元</w:t>
            </w:r>
          </w:p>
        </w:tc>
        <w:tc>
          <w:tcPr>
            <w:tcW w:w="1347"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30个工作日</w:t>
            </w:r>
          </w:p>
        </w:tc>
      </w:tr>
      <w:tr>
        <w:tblPrEx>
          <w:tblLayout w:type="fixed"/>
          <w:tblCellMar>
            <w:top w:w="0" w:type="dxa"/>
            <w:left w:w="108" w:type="dxa"/>
            <w:bottom w:w="0" w:type="dxa"/>
            <w:right w:w="108" w:type="dxa"/>
          </w:tblCellMar>
        </w:tblPrEx>
        <w:trPr>
          <w:trHeight w:val="203" w:hRule="atLeast"/>
        </w:trPr>
        <w:tc>
          <w:tcPr>
            <w:tcW w:w="3417" w:type="dxa"/>
            <w:vMerge w:val="restart"/>
            <w:tcBorders>
              <w:top w:val="nil"/>
              <w:left w:val="single" w:color="auto" w:sz="4" w:space="0"/>
              <w:bottom w:val="single" w:color="auto" w:sz="4" w:space="0"/>
              <w:right w:val="nil"/>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投标竞价（人民币元）</w:t>
            </w:r>
          </w:p>
        </w:tc>
        <w:tc>
          <w:tcPr>
            <w:tcW w:w="3544" w:type="dxa"/>
            <w:tcBorders>
              <w:top w:val="single" w:color="auto" w:sz="4" w:space="0"/>
              <w:left w:val="single" w:color="auto" w:sz="4" w:space="0"/>
              <w:bottom w:val="nil"/>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大写：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0" w:hRule="atLeast"/>
        </w:trPr>
        <w:tc>
          <w:tcPr>
            <w:tcW w:w="3417" w:type="dxa"/>
            <w:vMerge w:val="continue"/>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p>
        </w:tc>
        <w:tc>
          <w:tcPr>
            <w:tcW w:w="3544" w:type="dxa"/>
            <w:tcBorders>
              <w:top w:val="nil"/>
              <w:left w:val="single" w:color="auto" w:sz="4" w:space="0"/>
              <w:bottom w:val="single" w:color="auto" w:sz="4" w:space="0"/>
              <w:right w:val="nil"/>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小写：</w:t>
            </w:r>
          </w:p>
        </w:tc>
        <w:tc>
          <w:tcPr>
            <w:tcW w:w="1347"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5" w:hRule="atLeast"/>
        </w:trPr>
        <w:tc>
          <w:tcPr>
            <w:tcW w:w="8308"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备注：投标保证金￥</w:t>
            </w:r>
            <w:r>
              <w:rPr>
                <w:rFonts w:hint="eastAsia" w:ascii="宋体" w:hAnsi="宋体" w:cs="宋体"/>
                <w:color w:val="000000"/>
                <w:kern w:val="0"/>
                <w:sz w:val="20"/>
                <w:szCs w:val="20"/>
                <w:lang w:val="en-US" w:eastAsia="zh-CN"/>
              </w:rPr>
              <w:t>38</w:t>
            </w:r>
            <w:r>
              <w:rPr>
                <w:rFonts w:hint="eastAsia" w:ascii="宋体" w:hAnsi="宋体" w:cs="宋体"/>
                <w:color w:val="000000"/>
                <w:kern w:val="0"/>
                <w:sz w:val="20"/>
                <w:szCs w:val="20"/>
              </w:rPr>
              <w:t>00.00元整</w:t>
            </w:r>
          </w:p>
        </w:tc>
      </w:tr>
    </w:tbl>
    <w:p>
      <w:pPr>
        <w:spacing w:line="620" w:lineRule="exact"/>
        <w:jc w:val="left"/>
        <w:rPr>
          <w:rFonts w:hint="eastAsia" w:ascii="楷体" w:hAnsi="楷体" w:eastAsia="楷体"/>
          <w:b/>
          <w:bCs/>
          <w:sz w:val="28"/>
          <w:szCs w:val="28"/>
        </w:rPr>
      </w:pPr>
      <w:bookmarkStart w:id="0" w:name="_GoBack"/>
      <w:bookmarkEnd w:id="0"/>
    </w:p>
    <w:p>
      <w:pPr>
        <w:spacing w:line="620" w:lineRule="exact"/>
        <w:ind w:firstLine="562" w:firstLineChars="200"/>
        <w:jc w:val="left"/>
        <w:rPr>
          <w:rFonts w:ascii="楷体" w:hAnsi="楷体" w:eastAsia="楷体"/>
          <w:b/>
          <w:bCs/>
          <w:sz w:val="28"/>
          <w:szCs w:val="28"/>
        </w:rPr>
      </w:pPr>
      <w:r>
        <w:rPr>
          <w:rFonts w:hint="eastAsia" w:ascii="楷体" w:hAnsi="楷体" w:eastAsia="楷体"/>
          <w:b/>
          <w:bCs/>
          <w:sz w:val="28"/>
          <w:szCs w:val="28"/>
        </w:rPr>
        <w:t>一、投标要求：</w:t>
      </w:r>
    </w:p>
    <w:p>
      <w:pPr>
        <w:numPr>
          <w:ilvl w:val="0"/>
          <w:numId w:val="1"/>
        </w:numPr>
        <w:spacing w:line="620" w:lineRule="exact"/>
        <w:ind w:firstLine="560"/>
        <w:jc w:val="left"/>
        <w:rPr>
          <w:rFonts w:ascii="楷体" w:hAnsi="楷体" w:eastAsia="楷体"/>
          <w:sz w:val="28"/>
          <w:szCs w:val="28"/>
        </w:rPr>
      </w:pPr>
      <w:r>
        <w:rPr>
          <w:rFonts w:hint="eastAsia" w:ascii="楷体" w:hAnsi="楷体" w:eastAsia="楷体"/>
          <w:sz w:val="28"/>
          <w:szCs w:val="28"/>
        </w:rPr>
        <w:t>投标人须在2020年1</w:t>
      </w:r>
      <w:r>
        <w:rPr>
          <w:rFonts w:hint="eastAsia" w:ascii="楷体" w:hAnsi="楷体" w:eastAsia="楷体"/>
          <w:sz w:val="28"/>
          <w:szCs w:val="28"/>
          <w:lang w:val="en-US" w:eastAsia="zh-CN"/>
        </w:rPr>
        <w:t>1</w:t>
      </w:r>
      <w:r>
        <w:rPr>
          <w:rFonts w:hint="eastAsia" w:ascii="楷体" w:hAnsi="楷体" w:eastAsia="楷体"/>
          <w:sz w:val="28"/>
          <w:szCs w:val="28"/>
        </w:rPr>
        <w:t>月</w:t>
      </w:r>
      <w:r>
        <w:rPr>
          <w:rFonts w:hint="eastAsia" w:ascii="楷体" w:hAnsi="楷体" w:eastAsia="楷体"/>
          <w:sz w:val="28"/>
          <w:szCs w:val="28"/>
          <w:lang w:val="en-US" w:eastAsia="zh-CN"/>
        </w:rPr>
        <w:t>17</w:t>
      </w:r>
      <w:r>
        <w:rPr>
          <w:rFonts w:hint="eastAsia" w:ascii="楷体" w:hAnsi="楷体" w:eastAsia="楷体"/>
          <w:sz w:val="28"/>
          <w:szCs w:val="28"/>
        </w:rPr>
        <w:t>日12：00前将投标保证金以现金方式汇入招标人指定账户(以到账时间为准）；</w:t>
      </w:r>
    </w:p>
    <w:p>
      <w:pPr>
        <w:numPr>
          <w:ilvl w:val="0"/>
          <w:numId w:val="1"/>
        </w:numPr>
        <w:spacing w:line="620" w:lineRule="exact"/>
        <w:ind w:firstLine="560" w:firstLineChars="200"/>
        <w:jc w:val="left"/>
        <w:rPr>
          <w:rFonts w:ascii="楷体" w:hAnsi="楷体" w:eastAsia="楷体"/>
          <w:b/>
          <w:bCs/>
          <w:sz w:val="28"/>
          <w:szCs w:val="28"/>
        </w:rPr>
      </w:pPr>
      <w:r>
        <w:rPr>
          <w:rFonts w:hint="eastAsia" w:ascii="楷体" w:hAnsi="楷体" w:eastAsia="楷体"/>
          <w:sz w:val="28"/>
          <w:szCs w:val="28"/>
        </w:rPr>
        <w:t>投标人须在2020年1</w:t>
      </w:r>
      <w:r>
        <w:rPr>
          <w:rFonts w:hint="eastAsia" w:ascii="楷体" w:hAnsi="楷体" w:eastAsia="楷体"/>
          <w:sz w:val="28"/>
          <w:szCs w:val="28"/>
          <w:lang w:val="en-US" w:eastAsia="zh-CN"/>
        </w:rPr>
        <w:t>1</w:t>
      </w:r>
      <w:r>
        <w:rPr>
          <w:rFonts w:hint="eastAsia" w:ascii="楷体" w:hAnsi="楷体" w:eastAsia="楷体"/>
          <w:sz w:val="28"/>
          <w:szCs w:val="28"/>
        </w:rPr>
        <w:t>月</w:t>
      </w:r>
      <w:r>
        <w:rPr>
          <w:rFonts w:hint="eastAsia" w:ascii="楷体" w:hAnsi="楷体" w:eastAsia="楷体"/>
          <w:sz w:val="28"/>
          <w:szCs w:val="28"/>
          <w:lang w:val="en-US" w:eastAsia="zh-CN"/>
        </w:rPr>
        <w:t>17</w:t>
      </w:r>
      <w:r>
        <w:rPr>
          <w:rFonts w:hint="eastAsia" w:ascii="楷体" w:hAnsi="楷体" w:eastAsia="楷体"/>
          <w:sz w:val="28"/>
          <w:szCs w:val="28"/>
        </w:rPr>
        <w:t>日12：00前将已签字或盖章的《投标竞价书》、身份证复印件及交纳投标保证金的银行卡、开户行复印件一并递交至招标人指定地点</w:t>
      </w:r>
      <w:r>
        <w:rPr>
          <w:rFonts w:hint="eastAsia" w:ascii="楷体" w:hAnsi="楷体" w:eastAsia="楷体"/>
          <w:sz w:val="28"/>
          <w:szCs w:val="28"/>
          <w:lang w:eastAsia="zh-CN"/>
        </w:rPr>
        <w:t>；</w:t>
      </w:r>
    </w:p>
    <w:p>
      <w:pPr>
        <w:numPr>
          <w:ilvl w:val="0"/>
          <w:numId w:val="1"/>
        </w:numPr>
        <w:spacing w:line="620" w:lineRule="exact"/>
        <w:ind w:firstLine="560" w:firstLineChars="200"/>
        <w:jc w:val="left"/>
        <w:rPr>
          <w:rFonts w:ascii="楷体" w:hAnsi="楷体" w:eastAsia="楷体"/>
          <w:b/>
          <w:bCs/>
          <w:sz w:val="28"/>
          <w:szCs w:val="28"/>
        </w:rPr>
      </w:pPr>
      <w:r>
        <w:rPr>
          <w:rFonts w:hint="eastAsia" w:ascii="楷体" w:hAnsi="楷体" w:eastAsia="楷体"/>
          <w:sz w:val="28"/>
          <w:szCs w:val="28"/>
          <w:lang w:val="en-US" w:eastAsia="zh-CN"/>
        </w:rPr>
        <w:t>开标时间：2020年11月17日15:00点。</w:t>
      </w:r>
    </w:p>
    <w:p>
      <w:pPr>
        <w:spacing w:line="620" w:lineRule="exact"/>
        <w:ind w:left="560"/>
        <w:jc w:val="left"/>
        <w:rPr>
          <w:rFonts w:ascii="楷体" w:hAnsi="楷体" w:eastAsia="楷体"/>
          <w:b/>
          <w:bCs/>
          <w:sz w:val="28"/>
          <w:szCs w:val="28"/>
        </w:rPr>
      </w:pPr>
      <w:r>
        <w:rPr>
          <w:rFonts w:hint="eastAsia" w:ascii="楷体" w:hAnsi="楷体" w:eastAsia="楷体"/>
          <w:b/>
          <w:bCs/>
          <w:sz w:val="28"/>
          <w:szCs w:val="28"/>
        </w:rPr>
        <w:t>二、递交截止时间及地点：</w:t>
      </w:r>
    </w:p>
    <w:p>
      <w:pPr>
        <w:spacing w:line="620" w:lineRule="exact"/>
        <w:ind w:left="560"/>
        <w:jc w:val="left"/>
        <w:rPr>
          <w:rFonts w:ascii="楷体" w:hAnsi="楷体" w:eastAsia="楷体"/>
          <w:sz w:val="28"/>
          <w:szCs w:val="28"/>
        </w:rPr>
      </w:pPr>
      <w:r>
        <w:rPr>
          <w:rFonts w:hint="eastAsia" w:ascii="楷体" w:hAnsi="楷体" w:eastAsia="楷体"/>
          <w:sz w:val="28"/>
          <w:szCs w:val="28"/>
        </w:rPr>
        <w:t>1、递交截止时间为：2020年1</w:t>
      </w:r>
      <w:r>
        <w:rPr>
          <w:rFonts w:hint="eastAsia" w:ascii="楷体" w:hAnsi="楷体" w:eastAsia="楷体"/>
          <w:sz w:val="28"/>
          <w:szCs w:val="28"/>
          <w:lang w:val="en-US" w:eastAsia="zh-CN"/>
        </w:rPr>
        <w:t>1</w:t>
      </w:r>
      <w:r>
        <w:rPr>
          <w:rFonts w:hint="eastAsia" w:ascii="楷体" w:hAnsi="楷体" w:eastAsia="楷体"/>
          <w:sz w:val="28"/>
          <w:szCs w:val="28"/>
        </w:rPr>
        <w:t>月</w:t>
      </w:r>
      <w:r>
        <w:rPr>
          <w:rFonts w:hint="eastAsia" w:ascii="楷体" w:hAnsi="楷体" w:eastAsia="楷体"/>
          <w:sz w:val="28"/>
          <w:szCs w:val="28"/>
          <w:lang w:val="en-US" w:eastAsia="zh-CN"/>
        </w:rPr>
        <w:t>17</w:t>
      </w:r>
      <w:r>
        <w:rPr>
          <w:rFonts w:hint="eastAsia" w:ascii="楷体" w:hAnsi="楷体" w:eastAsia="楷体"/>
          <w:sz w:val="28"/>
          <w:szCs w:val="28"/>
        </w:rPr>
        <w:t>日12：00前（以招标人收到投标文件时间为准）。</w:t>
      </w:r>
    </w:p>
    <w:p>
      <w:pPr>
        <w:spacing w:line="620" w:lineRule="exact"/>
        <w:ind w:firstLine="630"/>
        <w:rPr>
          <w:rFonts w:ascii="楷体" w:hAnsi="楷体" w:eastAsia="楷体"/>
          <w:sz w:val="28"/>
          <w:szCs w:val="28"/>
        </w:rPr>
      </w:pPr>
      <w:r>
        <w:rPr>
          <w:rFonts w:hint="eastAsia" w:ascii="楷体" w:hAnsi="楷体" w:eastAsia="楷体" w:cs="宋体"/>
          <w:color w:val="000000"/>
          <w:kern w:val="0"/>
          <w:sz w:val="28"/>
          <w:szCs w:val="28"/>
        </w:rPr>
        <w:t xml:space="preserve">2、收件人：重庆盛普物资有限公司  </w:t>
      </w:r>
    </w:p>
    <w:p>
      <w:pPr>
        <w:spacing w:line="620" w:lineRule="exact"/>
        <w:ind w:firstLine="630"/>
        <w:rPr>
          <w:rFonts w:ascii="楷体" w:hAnsi="楷体" w:eastAsia="楷体" w:cs="宋体"/>
          <w:color w:val="000000"/>
          <w:kern w:val="0"/>
          <w:sz w:val="28"/>
          <w:szCs w:val="28"/>
        </w:rPr>
      </w:pPr>
      <w:r>
        <w:rPr>
          <w:rFonts w:hint="eastAsia" w:ascii="楷体" w:hAnsi="楷体" w:eastAsia="楷体" w:cs="宋体"/>
          <w:color w:val="000000"/>
          <w:kern w:val="0"/>
          <w:sz w:val="28"/>
          <w:szCs w:val="28"/>
        </w:rPr>
        <w:t>3、收件人地址：重庆市渝北区黄山大道中段60号1207室</w:t>
      </w:r>
    </w:p>
    <w:p>
      <w:pPr>
        <w:spacing w:line="620" w:lineRule="exact"/>
        <w:ind w:firstLine="630"/>
        <w:rPr>
          <w:rFonts w:ascii="楷体" w:hAnsi="楷体" w:eastAsia="楷体" w:cs="宋体"/>
          <w:color w:val="000000"/>
          <w:kern w:val="0"/>
          <w:sz w:val="28"/>
          <w:szCs w:val="28"/>
          <w:u w:val="single"/>
        </w:rPr>
      </w:pPr>
      <w:r>
        <w:rPr>
          <w:rFonts w:hint="eastAsia" w:ascii="楷体" w:hAnsi="楷体" w:eastAsia="楷体" w:cs="宋体"/>
          <w:color w:val="000000"/>
          <w:kern w:val="0"/>
          <w:sz w:val="28"/>
          <w:szCs w:val="28"/>
        </w:rPr>
        <w:t>4、联系人及电话：</w:t>
      </w:r>
      <w:r>
        <w:rPr>
          <w:rFonts w:hint="eastAsia" w:ascii="楷体" w:hAnsi="楷体" w:eastAsia="楷体" w:cs="宋体"/>
          <w:color w:val="000000"/>
          <w:kern w:val="0"/>
          <w:sz w:val="28"/>
          <w:szCs w:val="28"/>
          <w:u w:val="single"/>
        </w:rPr>
        <w:t>谢豪，倪小莉：023-63076979、63076923</w:t>
      </w:r>
    </w:p>
    <w:p>
      <w:pPr>
        <w:spacing w:line="500" w:lineRule="exact"/>
        <w:ind w:firstLine="3780" w:firstLineChars="1350"/>
        <w:rPr>
          <w:rFonts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3780" w:firstLineChars="1350"/>
        <w:rPr>
          <w:rFonts w:hint="eastAsia" w:ascii="楷体" w:hAnsi="楷体" w:eastAsia="楷体" w:cs="宋体"/>
          <w:color w:val="000000"/>
          <w:kern w:val="0"/>
          <w:sz w:val="28"/>
          <w:szCs w:val="28"/>
        </w:rPr>
      </w:pPr>
    </w:p>
    <w:p>
      <w:pPr>
        <w:spacing w:line="500" w:lineRule="exact"/>
        <w:ind w:firstLine="4320" w:firstLineChars="1350"/>
        <w:rPr>
          <w:rFonts w:ascii="楷体" w:hAnsi="楷体" w:eastAsia="楷体"/>
          <w:sz w:val="32"/>
          <w:szCs w:val="32"/>
        </w:rPr>
      </w:pPr>
      <w:r>
        <w:rPr>
          <w:rFonts w:hint="eastAsia" w:ascii="楷体" w:hAnsi="楷体" w:eastAsia="楷体"/>
          <w:sz w:val="32"/>
          <w:szCs w:val="32"/>
        </w:rPr>
        <w:t xml:space="preserve">竞价人（盖章或签字）：                         </w:t>
      </w:r>
    </w:p>
    <w:p>
      <w:pPr>
        <w:spacing w:line="500" w:lineRule="exact"/>
        <w:ind w:firstLine="4960" w:firstLineChars="1550"/>
        <w:rPr>
          <w:rFonts w:ascii="楷体" w:hAnsi="楷体" w:eastAsia="楷体"/>
          <w:sz w:val="32"/>
          <w:szCs w:val="32"/>
        </w:rPr>
      </w:pPr>
      <w:r>
        <w:rPr>
          <w:rFonts w:hint="eastAsia" w:ascii="楷体" w:hAnsi="楷体" w:eastAsia="楷体"/>
          <w:sz w:val="32"/>
          <w:szCs w:val="32"/>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934977"/>
    </w:sdtPr>
    <w:sdtContent>
      <w:p>
        <w:pPr>
          <w:pStyle w:val="4"/>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9533"/>
    <w:multiLevelType w:val="singleLevel"/>
    <w:tmpl w:val="579195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10F7"/>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B1A"/>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475"/>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D67"/>
    <w:rsid w:val="004B077B"/>
    <w:rsid w:val="004B2BFD"/>
    <w:rsid w:val="004B5B02"/>
    <w:rsid w:val="004B601C"/>
    <w:rsid w:val="004C41A2"/>
    <w:rsid w:val="004C502C"/>
    <w:rsid w:val="004C50CF"/>
    <w:rsid w:val="004C56AB"/>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53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77E"/>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2AEC"/>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2037"/>
    <w:rsid w:val="00D25558"/>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BA9"/>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33FC4"/>
    <w:rsid w:val="00E37A0A"/>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382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4A01"/>
    <w:rsid w:val="00FB51EA"/>
    <w:rsid w:val="00FD5CC5"/>
    <w:rsid w:val="00FE2864"/>
    <w:rsid w:val="00FE37C7"/>
    <w:rsid w:val="00FE3A99"/>
    <w:rsid w:val="00FE3D4C"/>
    <w:rsid w:val="00FF4FCD"/>
    <w:rsid w:val="08B45C42"/>
    <w:rsid w:val="09CD7157"/>
    <w:rsid w:val="0E1A6B85"/>
    <w:rsid w:val="11295994"/>
    <w:rsid w:val="12942EEF"/>
    <w:rsid w:val="1AB96F11"/>
    <w:rsid w:val="21851DC2"/>
    <w:rsid w:val="2276789C"/>
    <w:rsid w:val="23CA4068"/>
    <w:rsid w:val="28F77C67"/>
    <w:rsid w:val="31C25F55"/>
    <w:rsid w:val="42F26154"/>
    <w:rsid w:val="48F41DF7"/>
    <w:rsid w:val="4AC046B2"/>
    <w:rsid w:val="4F480467"/>
    <w:rsid w:val="54B022BD"/>
    <w:rsid w:val="71000DB5"/>
    <w:rsid w:val="73490067"/>
    <w:rsid w:val="77072759"/>
    <w:rsid w:val="7901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7"/>
    <w:qFormat/>
    <w:uiPriority w:val="0"/>
    <w:rPr>
      <w:rFonts w:eastAsia="仿宋_GB2312"/>
      <w:kern w:val="0"/>
      <w:sz w:val="28"/>
      <w:szCs w:val="20"/>
    </w:r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unhideWhenUsed/>
    <w:qFormat/>
    <w:uiPriority w:val="99"/>
    <w:rPr>
      <w:color w:val="333333"/>
      <w:u w:val="none"/>
    </w:rPr>
  </w:style>
  <w:style w:type="character" w:styleId="11">
    <w:name w:val="Emphasis"/>
    <w:basedOn w:val="8"/>
    <w:qFormat/>
    <w:uiPriority w:val="20"/>
  </w:style>
  <w:style w:type="character" w:styleId="12">
    <w:name w:val="Hyperlink"/>
    <w:basedOn w:val="8"/>
    <w:unhideWhenUsed/>
    <w:qFormat/>
    <w:uiPriority w:val="99"/>
    <w:rPr>
      <w:color w:val="414A51"/>
      <w:u w:val="none"/>
    </w:rPr>
  </w:style>
  <w:style w:type="character" w:styleId="13">
    <w:name w:val="HTML Cite"/>
    <w:basedOn w:val="8"/>
    <w:unhideWhenUsed/>
    <w:qFormat/>
    <w:uiPriority w:val="99"/>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批注框文本 Char"/>
    <w:basedOn w:val="8"/>
    <w:link w:val="3"/>
    <w:semiHidden/>
    <w:qFormat/>
    <w:uiPriority w:val="99"/>
    <w:rPr>
      <w:sz w:val="18"/>
      <w:szCs w:val="18"/>
    </w:rPr>
  </w:style>
  <w:style w:type="character" w:customStyle="1" w:styleId="17">
    <w:name w:val="正文文本 Char"/>
    <w:basedOn w:val="8"/>
    <w:link w:val="2"/>
    <w:qFormat/>
    <w:uiPriority w:val="0"/>
    <w:rPr>
      <w:rFonts w:ascii="Times New Roman" w:hAnsi="Times New Roman" w:eastAsia="仿宋_GB2312" w:cs="Times New Roman"/>
      <w:kern w:val="0"/>
      <w:sz w:val="28"/>
      <w:szCs w:val="20"/>
    </w:rPr>
  </w:style>
  <w:style w:type="paragraph" w:customStyle="1" w:styleId="18">
    <w:name w:val="列出段落1"/>
    <w:basedOn w:val="1"/>
    <w:qFormat/>
    <w:uiPriority w:val="34"/>
    <w:pPr>
      <w:ind w:firstLine="420" w:firstLineChars="200"/>
    </w:pPr>
  </w:style>
  <w:style w:type="character" w:customStyle="1" w:styleId="19">
    <w:name w:val="bds_more1"/>
    <w:basedOn w:val="8"/>
    <w:qFormat/>
    <w:uiPriority w:val="0"/>
    <w:rPr>
      <w:rFonts w:hint="eastAsia" w:ascii="宋体" w:hAnsi="宋体" w:eastAsia="宋体"/>
    </w:rPr>
  </w:style>
  <w:style w:type="character" w:customStyle="1" w:styleId="20">
    <w:name w:val="time4"/>
    <w:basedOn w:val="8"/>
    <w:qFormat/>
    <w:uiPriority w:val="0"/>
  </w:style>
  <w:style w:type="character" w:customStyle="1" w:styleId="21">
    <w:name w:val="source"/>
    <w:basedOn w:val="8"/>
    <w:qFormat/>
    <w:uiPriority w:val="0"/>
  </w:style>
  <w:style w:type="paragraph" w:customStyle="1" w:styleId="22">
    <w:name w:val="z-窗体顶端1"/>
    <w:basedOn w:val="1"/>
    <w:next w:val="1"/>
    <w:link w:val="23"/>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3">
    <w:name w:val="z-窗体顶端 Char"/>
    <w:basedOn w:val="8"/>
    <w:link w:val="22"/>
    <w:semiHidden/>
    <w:qFormat/>
    <w:uiPriority w:val="99"/>
    <w:rPr>
      <w:rFonts w:ascii="Arial" w:hAnsi="Arial" w:eastAsia="宋体" w:cs="Arial"/>
      <w:vanish/>
      <w:kern w:val="0"/>
      <w:sz w:val="16"/>
      <w:szCs w:val="16"/>
    </w:rPr>
  </w:style>
  <w:style w:type="paragraph" w:customStyle="1" w:styleId="24">
    <w:name w:val="z-窗体底端1"/>
    <w:basedOn w:val="1"/>
    <w:next w:val="1"/>
    <w:link w:val="25"/>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5">
    <w:name w:val="z-窗体底端 Char"/>
    <w:basedOn w:val="8"/>
    <w:link w:val="24"/>
    <w:semiHidden/>
    <w:qFormat/>
    <w:uiPriority w:val="99"/>
    <w:rPr>
      <w:rFonts w:ascii="Arial" w:hAnsi="Arial" w:eastAsia="宋体" w:cs="Arial"/>
      <w:vanish/>
      <w:kern w:val="0"/>
      <w:sz w:val="16"/>
      <w:szCs w:val="16"/>
    </w:rPr>
  </w:style>
  <w:style w:type="character" w:customStyle="1" w:styleId="26">
    <w:name w:val="hei141"/>
    <w:basedOn w:val="8"/>
    <w:qFormat/>
    <w:uiPriority w:val="0"/>
    <w:rPr>
      <w:rFonts w:hint="eastAsia" w:ascii="宋体" w:hAnsi="宋体" w:eastAsia="宋体"/>
      <w:color w:val="000000"/>
      <w:sz w:val="21"/>
      <w:szCs w:val="21"/>
      <w:u w:val="none"/>
    </w:rPr>
  </w:style>
  <w:style w:type="paragraph" w:customStyle="1" w:styleId="2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apple-converted-space"/>
    <w:basedOn w:val="8"/>
    <w:qFormat/>
    <w:uiPriority w:val="0"/>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398</Words>
  <Characters>2272</Characters>
  <Lines>18</Lines>
  <Paragraphs>5</Paragraphs>
  <TotalTime>4</TotalTime>
  <ScaleCrop>false</ScaleCrop>
  <LinksUpToDate>false</LinksUpToDate>
  <CharactersWithSpaces>2665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NIXL</cp:lastModifiedBy>
  <cp:lastPrinted>2020-10-20T07:06:00Z</cp:lastPrinted>
  <dcterms:modified xsi:type="dcterms:W3CDTF">2020-11-06T06:53:14Z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